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20FB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盘州市20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一般公共预算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“三公”经费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安排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情况说明</w:t>
      </w:r>
    </w:p>
    <w:p w14:paraId="75C955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333333"/>
          <w:kern w:val="0"/>
          <w:sz w:val="32"/>
          <w:szCs w:val="32"/>
        </w:rPr>
      </w:pPr>
    </w:p>
    <w:p w14:paraId="4566BCF0">
      <w:pPr>
        <w:keepNext w:val="0"/>
        <w:keepLines w:val="0"/>
        <w:pageBreakBefore w:val="0"/>
        <w:widowControl w:val="0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“三公”经费预算合计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3382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万元，比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的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3417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万元减支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万元，降低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1.02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%。其中：公务接待费：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万元，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由单位自行在部门预算公务费支出中开支，市财政不单独安排部门公务接待费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具体数据由部门自行公布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；因公出国（境）费年初预算均不作安排；公务用车运行维护费（含其他交通费用）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3382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万元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比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的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3417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万元减支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降低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1.02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%。</w:t>
      </w:r>
    </w:p>
    <w:p w14:paraId="6D86F296">
      <w:pPr>
        <w:keepNext w:val="0"/>
        <w:keepLines w:val="0"/>
        <w:pageBreakBefore w:val="0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eastAsia="仿宋_GB2312" w:cs="Times New Roman"/>
          <w:sz w:val="32"/>
          <w:szCs w:val="28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一般公共预算“三公”经费支出有所减少，主要原因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继续压减公用经费预算支出规模，各部门厉行节约，从严控制公务接待和公务用车次数及规模，“三公”经费进一步减少。</w:t>
      </w:r>
      <w:bookmarkStart w:id="0" w:name="_GoBack"/>
      <w:bookmarkEnd w:id="0"/>
    </w:p>
    <w:p w14:paraId="7E4B5267">
      <w:pPr>
        <w:tabs>
          <w:tab w:val="left" w:pos="1290"/>
        </w:tabs>
        <w:spacing w:line="560" w:lineRule="exact"/>
        <w:ind w:firstLine="800" w:firstLineChars="250"/>
        <w:jc w:val="center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盘州市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年“三公经费支出预算统计表</w:t>
      </w:r>
    </w:p>
    <w:p w14:paraId="4C2BA810"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微软雅黑" w:hAnsi="微软雅黑" w:cs="宋体"/>
          <w:color w:val="333333"/>
          <w:kern w:val="0"/>
          <w:sz w:val="32"/>
          <w:szCs w:val="32"/>
        </w:rPr>
        <w:t>　　　　　　　　　　　　　　　　</w:t>
      </w:r>
      <w:r>
        <w:rPr>
          <w:rFonts w:hint="eastAsia" w:ascii="微软雅黑" w:hAnsi="微软雅黑" w:cs="宋体"/>
          <w:color w:val="333333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 w:cs="宋体"/>
          <w:color w:val="333333"/>
          <w:kern w:val="0"/>
          <w:sz w:val="32"/>
          <w:szCs w:val="32"/>
        </w:rPr>
        <w:t>　</w:t>
      </w:r>
      <w:r>
        <w:rPr>
          <w:rFonts w:hint="eastAsia" w:ascii="微软雅黑" w:hAnsi="微软雅黑" w:cs="宋体"/>
          <w:color w:val="333333"/>
          <w:kern w:val="0"/>
          <w:szCs w:val="21"/>
        </w:rPr>
        <w:t>单位：万元</w:t>
      </w:r>
    </w:p>
    <w:tbl>
      <w:tblPr>
        <w:tblStyle w:val="6"/>
        <w:tblW w:w="84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1427"/>
        <w:gridCol w:w="1316"/>
        <w:gridCol w:w="1504"/>
        <w:gridCol w:w="1080"/>
      </w:tblGrid>
      <w:tr w14:paraId="74819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44E58F9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14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5DBF069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3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5FA6893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度</w:t>
            </w:r>
          </w:p>
        </w:tc>
        <w:tc>
          <w:tcPr>
            <w:tcW w:w="15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3305440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比上年增减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E2E350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增减％</w:t>
            </w:r>
          </w:p>
        </w:tc>
      </w:tr>
      <w:tr w14:paraId="58400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A4EB1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8002F8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B6C070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51AB2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71D6D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4DB2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3E80E27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“三公”经费支出合计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594C16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2B97D2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3417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02F27B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-35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6743E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 w14:paraId="59AF5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C2223D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1.因公出国（境）费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22B1E5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56FE0C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052B31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A48C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21345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15F3759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2.公务用车购置及运行维护费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40EF37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733DC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3417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6768AD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-35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F7DA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 w14:paraId="0221C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3495CB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3.公务接待费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41E525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D3CC9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54142A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F191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 w14:paraId="0DE4B60F"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微软雅黑" w:hAnsi="微软雅黑" w:cs="宋体"/>
          <w:color w:val="333333"/>
          <w:kern w:val="0"/>
          <w:sz w:val="32"/>
          <w:szCs w:val="32"/>
        </w:rPr>
      </w:pPr>
    </w:p>
    <w:p w14:paraId="7C51DF0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“三公”经费包括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公务用车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购置及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运行维护费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公务接待费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因公出国（境）费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详细如下：</w:t>
      </w:r>
    </w:p>
    <w:p w14:paraId="124F19B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一、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公务用车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购置及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运行维护费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反映单位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购置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公务用车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及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燃料费、维修费、过桥过路费、保险费、租用费等支出。</w:t>
      </w:r>
    </w:p>
    <w:p w14:paraId="2EDE04C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二、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公务接待费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反映单位按规定开支的各类公务接待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费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。</w:t>
      </w:r>
    </w:p>
    <w:p w14:paraId="5915E03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三、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因公出国（境）费。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反映部门公务出国（境）的国际旅费、国外城市间交通费、住宿费、伙食费、培训费、公杂费等支出。</w:t>
      </w:r>
    </w:p>
    <w:p w14:paraId="2594BF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微软雅黑" w:hAnsi="微软雅黑" w:cs="宋体"/>
          <w:color w:val="333333"/>
          <w:kern w:val="0"/>
          <w:sz w:val="32"/>
          <w:szCs w:val="32"/>
        </w:rPr>
      </w:pPr>
    </w:p>
    <w:p w14:paraId="39A5D0EC"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微软雅黑" w:hAnsi="微软雅黑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Y2MWE2NjQ1NDYxZDVhNjMzNzE1MWFkOTU5Y2ZkMTQifQ=="/>
  </w:docVars>
  <w:rsids>
    <w:rsidRoot w:val="00730B1D"/>
    <w:rsid w:val="0016387C"/>
    <w:rsid w:val="0019462A"/>
    <w:rsid w:val="00266BE4"/>
    <w:rsid w:val="00284BCE"/>
    <w:rsid w:val="00317462"/>
    <w:rsid w:val="003C0945"/>
    <w:rsid w:val="006746CB"/>
    <w:rsid w:val="00730B1D"/>
    <w:rsid w:val="00746713"/>
    <w:rsid w:val="007C020C"/>
    <w:rsid w:val="008B7CC7"/>
    <w:rsid w:val="00A61A15"/>
    <w:rsid w:val="00C0050B"/>
    <w:rsid w:val="00CD31AA"/>
    <w:rsid w:val="00E8328D"/>
    <w:rsid w:val="00F72B23"/>
    <w:rsid w:val="0261662C"/>
    <w:rsid w:val="03467182"/>
    <w:rsid w:val="067F25D7"/>
    <w:rsid w:val="08874912"/>
    <w:rsid w:val="0AE90A2E"/>
    <w:rsid w:val="0BBA10D1"/>
    <w:rsid w:val="0D7959AA"/>
    <w:rsid w:val="0E122ED0"/>
    <w:rsid w:val="0EB04483"/>
    <w:rsid w:val="13897061"/>
    <w:rsid w:val="13B567D8"/>
    <w:rsid w:val="16C11C00"/>
    <w:rsid w:val="17C50FB3"/>
    <w:rsid w:val="183A7128"/>
    <w:rsid w:val="20A46DFF"/>
    <w:rsid w:val="213A656E"/>
    <w:rsid w:val="23F90E1F"/>
    <w:rsid w:val="266A3452"/>
    <w:rsid w:val="27076EF2"/>
    <w:rsid w:val="27912C60"/>
    <w:rsid w:val="2B41697F"/>
    <w:rsid w:val="2F15125A"/>
    <w:rsid w:val="3038636F"/>
    <w:rsid w:val="337E2FD9"/>
    <w:rsid w:val="35447564"/>
    <w:rsid w:val="363E21A6"/>
    <w:rsid w:val="39730417"/>
    <w:rsid w:val="3A685AA2"/>
    <w:rsid w:val="3CC80A7A"/>
    <w:rsid w:val="3E594080"/>
    <w:rsid w:val="40A13ABC"/>
    <w:rsid w:val="41A95DDF"/>
    <w:rsid w:val="43971C7A"/>
    <w:rsid w:val="45FD48F4"/>
    <w:rsid w:val="48004C02"/>
    <w:rsid w:val="480A24A5"/>
    <w:rsid w:val="4B180E1F"/>
    <w:rsid w:val="4B97125D"/>
    <w:rsid w:val="4C7141C6"/>
    <w:rsid w:val="4CE40673"/>
    <w:rsid w:val="544566E2"/>
    <w:rsid w:val="551B1C37"/>
    <w:rsid w:val="55300240"/>
    <w:rsid w:val="55FD133D"/>
    <w:rsid w:val="56E261D2"/>
    <w:rsid w:val="587F24DD"/>
    <w:rsid w:val="5B182536"/>
    <w:rsid w:val="5C904CB9"/>
    <w:rsid w:val="5E9F7435"/>
    <w:rsid w:val="63027A90"/>
    <w:rsid w:val="644D16E1"/>
    <w:rsid w:val="64F56411"/>
    <w:rsid w:val="650E0E71"/>
    <w:rsid w:val="66654941"/>
    <w:rsid w:val="669E08F1"/>
    <w:rsid w:val="68CC6CDC"/>
    <w:rsid w:val="69456E2B"/>
    <w:rsid w:val="69E95CEF"/>
    <w:rsid w:val="6A5F3F1C"/>
    <w:rsid w:val="6CFD0FC7"/>
    <w:rsid w:val="723249CE"/>
    <w:rsid w:val="72C76B03"/>
    <w:rsid w:val="72EA5188"/>
    <w:rsid w:val="73CA46F2"/>
    <w:rsid w:val="75E3724A"/>
    <w:rsid w:val="767A5C69"/>
    <w:rsid w:val="777A2396"/>
    <w:rsid w:val="77B92EBE"/>
    <w:rsid w:val="77EB5041"/>
    <w:rsid w:val="7EDD60E8"/>
    <w:rsid w:val="7F3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523</Words>
  <Characters>605</Characters>
  <Lines>3</Lines>
  <Paragraphs>1</Paragraphs>
  <TotalTime>3</TotalTime>
  <ScaleCrop>false</ScaleCrop>
  <LinksUpToDate>false</LinksUpToDate>
  <CharactersWithSpaces>627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2018-09-17T01:05:00Z</dcterms:created>
  <dc:creator>Sky123.Org</dc:creator>
  <cp:lastModifiedBy>Administrator</cp:lastModifiedBy>
  <dcterms:modified xsi:type="dcterms:W3CDTF">2025-02-27T12:31:32Z</dcterms:modified>
  <dc:title>六盘水市本级2015年度“三公”经费决算情况说明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5BD31B90D30A412E85EF372ECC938376</vt:lpwstr>
  </property>
</Properties>
</file>